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spacing w:before="54"/>
        <w:ind w:left="249" w:right="0" w:firstLine="0"/>
        <w:jc w:val="left"/>
        <w:rPr>
          <w:rFonts w:hint="eastAsia" w:ascii="宋体" w:eastAsia="宋体"/>
          <w:b/>
          <w:sz w:val="134"/>
        </w:rPr>
      </w:pPr>
      <w:r>
        <w:rPr>
          <w:rFonts w:hint="eastAsia" w:ascii="宋体" w:eastAsia="宋体"/>
          <w:b/>
          <w:color w:val="FF0000"/>
          <w:w w:val="55"/>
          <w:sz w:val="134"/>
        </w:rPr>
        <w:t>北京市电力行业协会文件</w:t>
      </w:r>
    </w:p>
    <w:p>
      <w:pPr>
        <w:pStyle w:val="2"/>
        <w:spacing w:before="412"/>
        <w:ind w:left="3133" w:right="3016"/>
        <w:jc w:val="center"/>
        <w:rPr>
          <w:rFonts w:hint="eastAsia" w:ascii="仿宋" w:eastAsia="仿宋"/>
        </w:rPr>
      </w:pPr>
      <w:r>
        <w:rPr>
          <w:rFonts w:hint="eastAsia" w:ascii="仿宋" w:eastAsia="仿宋"/>
        </w:rPr>
        <w:t>京电协〔202</w:t>
      </w:r>
      <w:r>
        <w:rPr>
          <w:rFonts w:hint="eastAsia" w:ascii="仿宋" w:eastAsia="仿宋"/>
          <w:lang w:val="en-US" w:eastAsia="zh-CN"/>
        </w:rPr>
        <w:t>3</w:t>
      </w:r>
      <w:r>
        <w:rPr>
          <w:rFonts w:hint="eastAsia" w:ascii="仿宋" w:eastAsia="仿宋"/>
        </w:rPr>
        <w:t>〕</w:t>
      </w:r>
      <w:r>
        <w:rPr>
          <w:rFonts w:hint="eastAsia" w:ascii="仿宋" w:eastAsia="仿宋"/>
          <w:lang w:val="en-US" w:eastAsia="zh-CN"/>
        </w:rPr>
        <w:t>1</w:t>
      </w:r>
      <w:r>
        <w:rPr>
          <w:rFonts w:hint="eastAsia" w:ascii="仿宋" w:eastAsia="仿宋"/>
        </w:rPr>
        <w:t xml:space="preserve"> 号</w:t>
      </w:r>
    </w:p>
    <w:p>
      <w:pPr>
        <w:pStyle w:val="2"/>
        <w:rPr>
          <w:rFonts w:ascii="仿宋"/>
          <w:sz w:val="20"/>
        </w:rPr>
      </w:pPr>
    </w:p>
    <w:p>
      <w:pPr>
        <w:pStyle w:val="2"/>
        <w:spacing w:before="9"/>
        <w:rPr>
          <w:rFonts w:ascii="仿宋"/>
          <w:sz w:val="12"/>
        </w:rPr>
      </w:pPr>
    </w:p>
    <w:p>
      <w:pPr>
        <w:pStyle w:val="2"/>
        <w:spacing w:line="30" w:lineRule="exact"/>
        <w:ind w:left="-149"/>
        <w:rPr>
          <w:rFonts w:ascii="仿宋"/>
          <w:sz w:val="3"/>
        </w:rPr>
      </w:pPr>
      <w:r>
        <w:rPr>
          <w:rFonts w:ascii="仿宋"/>
          <w:position w:val="0"/>
          <w:sz w:val="3"/>
        </w:rPr>
        <mc:AlternateContent>
          <mc:Choice Requires="wpg">
            <w:drawing>
              <wp:inline distT="0" distB="0" distL="114300" distR="114300">
                <wp:extent cx="5597525" cy="19050"/>
                <wp:effectExtent l="0" t="0" r="3175" b="6350"/>
                <wp:docPr id="3" name="组合 2"/>
                <wp:cNvGraphicFramePr/>
                <a:graphic xmlns:a="http://schemas.openxmlformats.org/drawingml/2006/main">
                  <a:graphicData uri="http://schemas.microsoft.com/office/word/2010/wordprocessingGroup">
                    <wpg:wgp>
                      <wpg:cNvGrpSpPr/>
                      <wpg:grpSpPr>
                        <a:xfrm>
                          <a:off x="0" y="0"/>
                          <a:ext cx="5597525" cy="19050"/>
                          <a:chOff x="0" y="0"/>
                          <a:chExt cx="8815" cy="30"/>
                        </a:xfrm>
                      </wpg:grpSpPr>
                      <wps:wsp>
                        <wps:cNvPr id="2" name="直线 3"/>
                        <wps:cNvCnPr/>
                        <wps:spPr>
                          <a:xfrm>
                            <a:off x="0" y="15"/>
                            <a:ext cx="8815" cy="0"/>
                          </a:xfrm>
                          <a:prstGeom prst="line">
                            <a:avLst/>
                          </a:prstGeom>
                          <a:ln w="19050" cap="flat" cmpd="sng">
                            <a:solidFill>
                              <a:srgbClr val="FF0000"/>
                            </a:solidFill>
                            <a:prstDash val="solid"/>
                            <a:headEnd type="none" w="med" len="med"/>
                            <a:tailEnd type="none" w="med" len="med"/>
                          </a:ln>
                        </wps:spPr>
                        <wps:bodyPr upright="1"/>
                      </wps:wsp>
                    </wpg:wgp>
                  </a:graphicData>
                </a:graphic>
              </wp:inline>
            </w:drawing>
          </mc:Choice>
          <mc:Fallback>
            <w:pict>
              <v:group id="组合 2" o:spid="_x0000_s1026" o:spt="203" style="height:1.5pt;width:440.75pt;" coordsize="8815,30" o:gfxdata="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1RsSdQAAAADAQAADwAAAAAAAAABACAA&#10;AAAiAAAAZHJzL2Rvd25yZXYueG1sUEsBAhQAFAAAAAgAh07iQOQobCdKAgAAAQUAAA4AAAAAAAAA&#10;AQAgAAAAIwEAAGRycy9lMm9Eb2MueG1sUEsFBgAAAAAGAAYAWQEAAN8FAAAAAA==&#10;">
                <o:lock v:ext="edit" aspectratio="f"/>
                <v:line id="直线 3" o:spid="_x0000_s1026" o:spt="20" style="position:absolute;left:0;top:15;height:0;width:8815;" filled="f" stroked="t" coordsize="21600,21600" o:gfxdata="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djj28AAAA&#10;2gAAAA8AAAAAAAAAAQAgAAAAIgAAAGRycy9kb3ducmV2LnhtbFBLAQIUABQAAAAIAIdO4kAzLwWe&#10;OwAAADkAAAAQAAAAAAAAAAEAIAAAAAsBAABkcnMvc2hhcGV4bWwueG1sUEsFBgAAAAAGAAYAWwEA&#10;ALUDAAAAAA==&#10;">
                  <v:fill on="f" focussize="0,0"/>
                  <v:stroke weight="1.5pt" color="#FF0000" joinstyle="round"/>
                  <v:imagedata o:title=""/>
                  <o:lock v:ext="edit" aspectratio="f"/>
                </v:line>
                <w10:wrap type="none"/>
                <w10:anchorlock/>
              </v:group>
            </w:pict>
          </mc:Fallback>
        </mc:AlternateContent>
      </w:r>
    </w:p>
    <w:p>
      <w:pPr>
        <w:pStyle w:val="2"/>
        <w:spacing w:before="12"/>
        <w:rPr>
          <w:rFonts w:ascii="仿宋"/>
          <w:sz w:val="10"/>
        </w:rPr>
      </w:pPr>
    </w:p>
    <w:p>
      <w:pPr>
        <w:jc w:val="center"/>
        <w:rPr>
          <w:rFonts w:hint="eastAsia" w:ascii="宋体" w:hAnsi="宋体" w:eastAsia="宋体" w:cs="宋体"/>
          <w:b/>
          <w:bCs/>
          <w:color w:val="000000"/>
          <w:spacing w:val="0"/>
          <w:w w:val="100"/>
          <w:kern w:val="0"/>
          <w:position w:val="0"/>
          <w:sz w:val="44"/>
          <w:szCs w:val="44"/>
          <w:u w:val="none"/>
          <w:shd w:val="clear" w:color="auto" w:fill="auto"/>
          <w:lang w:val="en-US" w:eastAsia="zh-CN" w:bidi="zh-TW"/>
        </w:rPr>
      </w:pPr>
      <w:r>
        <w:rPr>
          <w:rFonts w:hint="eastAsia" w:ascii="宋体" w:hAnsi="宋体" w:eastAsia="宋体" w:cs="宋体"/>
          <w:b/>
          <w:bCs/>
          <w:color w:val="000000"/>
          <w:spacing w:val="0"/>
          <w:w w:val="100"/>
          <w:kern w:val="0"/>
          <w:position w:val="0"/>
          <w:sz w:val="44"/>
          <w:szCs w:val="44"/>
          <w:u w:val="none"/>
          <w:shd w:val="clear" w:color="auto" w:fill="auto"/>
          <w:lang w:val="en-US" w:eastAsia="zh-CN" w:bidi="zh-TW"/>
        </w:rPr>
        <w:t>关于开展2023年北京区域涉电力企业</w:t>
      </w:r>
    </w:p>
    <w:p>
      <w:pPr>
        <w:jc w:val="center"/>
        <w:rPr>
          <w:rFonts w:hint="eastAsia" w:ascii="宋体" w:hAnsi="宋体" w:eastAsia="宋体" w:cs="宋体"/>
          <w:b/>
          <w:bCs/>
          <w:color w:val="000000"/>
          <w:spacing w:val="0"/>
          <w:w w:val="100"/>
          <w:kern w:val="0"/>
          <w:position w:val="0"/>
          <w:sz w:val="44"/>
          <w:szCs w:val="44"/>
          <w:u w:val="none"/>
          <w:shd w:val="clear" w:color="auto" w:fill="auto"/>
          <w:lang w:val="en-US" w:eastAsia="zh-CN" w:bidi="zh-TW"/>
        </w:rPr>
      </w:pPr>
      <w:r>
        <w:rPr>
          <w:rFonts w:hint="eastAsia" w:ascii="宋体" w:hAnsi="宋体" w:eastAsia="宋体" w:cs="宋体"/>
          <w:b/>
          <w:bCs/>
          <w:color w:val="000000"/>
          <w:spacing w:val="0"/>
          <w:w w:val="100"/>
          <w:kern w:val="0"/>
          <w:position w:val="0"/>
          <w:sz w:val="44"/>
          <w:szCs w:val="44"/>
          <w:u w:val="none"/>
          <w:shd w:val="clear" w:color="auto" w:fill="auto"/>
          <w:lang w:val="en-US" w:eastAsia="zh-CN" w:bidi="zh-TW"/>
        </w:rPr>
        <w:t>信用评价工作的通知</w:t>
      </w:r>
    </w:p>
    <w:p>
      <w:pPr>
        <w:jc w:val="center"/>
        <w:rPr>
          <w:rFonts w:hint="eastAsia" w:asciiTheme="majorEastAsia" w:hAnsiTheme="majorEastAsia" w:eastAsiaTheme="majorEastAsia" w:cstheme="majorEastAsia"/>
          <w:b/>
          <w:bCs/>
          <w:sz w:val="36"/>
          <w:szCs w:val="36"/>
        </w:rPr>
      </w:pPr>
    </w:p>
    <w:p>
      <w:pPr>
        <w:keepNext w:val="0"/>
        <w:keepLines w:val="0"/>
        <w:widowControl w:val="0"/>
        <w:shd w:val="clear" w:color="auto" w:fill="auto"/>
        <w:tabs>
          <w:tab w:val="left" w:pos="1602"/>
        </w:tabs>
        <w:bidi w:val="0"/>
        <w:spacing w:before="0" w:after="0" w:line="360" w:lineRule="auto"/>
        <w:ind w:left="0" w:leftChars="0" w:right="0" w:firstLine="0" w:firstLineChars="0"/>
        <w:jc w:val="both"/>
        <w:rPr>
          <w:rFonts w:hint="eastAsia" w:ascii="仿宋" w:hAnsi="仿宋" w:eastAsia="仿宋" w:cs="仿宋"/>
          <w:b w:val="0"/>
          <w:bCs w:val="0"/>
          <w:color w:val="000000"/>
          <w:spacing w:val="0"/>
          <w:w w:val="100"/>
          <w:position w:val="0"/>
          <w:sz w:val="32"/>
          <w:szCs w:val="32"/>
          <w:u w:val="none"/>
          <w:shd w:val="clear" w:color="auto" w:fill="auto"/>
          <w:lang w:val="en-US" w:eastAsia="zh-CN" w:bidi="zh-TW"/>
        </w:rPr>
      </w:pPr>
      <w:r>
        <w:rPr>
          <w:rFonts w:hint="eastAsia" w:ascii="仿宋" w:hAnsi="仿宋" w:eastAsia="仿宋" w:cs="仿宋"/>
          <w:b w:val="0"/>
          <w:bCs w:val="0"/>
          <w:color w:val="000000"/>
          <w:spacing w:val="0"/>
          <w:w w:val="100"/>
          <w:position w:val="0"/>
          <w:sz w:val="32"/>
          <w:szCs w:val="32"/>
          <w:u w:val="none"/>
          <w:shd w:val="clear" w:color="auto" w:fill="auto"/>
          <w:lang w:val="en-US" w:eastAsia="zh-CN" w:bidi="zh-TW"/>
        </w:rPr>
        <w:t>各有关单位：</w:t>
      </w:r>
    </w:p>
    <w:p>
      <w:pPr>
        <w:pStyle w:val="5"/>
        <w:keepNext w:val="0"/>
        <w:keepLines w:val="0"/>
        <w:widowControl/>
        <w:suppressLineNumbers w:val="0"/>
        <w:spacing w:before="0" w:beforeAutospacing="0" w:after="0" w:afterAutospacing="0" w:line="360" w:lineRule="auto"/>
        <w:ind w:left="0" w:right="0" w:firstLine="640" w:firstLineChars="200"/>
        <w:rPr>
          <w:rFonts w:hint="eastAsia" w:ascii="仿宋" w:hAnsi="仿宋" w:eastAsia="仿宋" w:cs="仿宋"/>
          <w:b w:val="0"/>
          <w:bCs w:val="0"/>
          <w:color w:val="000000"/>
          <w:spacing w:val="0"/>
          <w:w w:val="100"/>
          <w:kern w:val="0"/>
          <w:position w:val="0"/>
          <w:sz w:val="32"/>
          <w:szCs w:val="32"/>
          <w:u w:val="none"/>
          <w:shd w:val="clear" w:color="auto" w:fill="auto"/>
          <w:lang w:val="en-US" w:eastAsia="zh-CN" w:bidi="zh-TW"/>
        </w:rPr>
      </w:pPr>
      <w:r>
        <w:rPr>
          <w:rFonts w:hint="eastAsia" w:ascii="仿宋" w:hAnsi="仿宋" w:eastAsia="仿宋" w:cs="仿宋"/>
          <w:b w:val="0"/>
          <w:bCs w:val="0"/>
          <w:color w:val="000000"/>
          <w:spacing w:val="0"/>
          <w:w w:val="100"/>
          <w:kern w:val="0"/>
          <w:position w:val="0"/>
          <w:sz w:val="32"/>
          <w:szCs w:val="32"/>
          <w:u w:val="none"/>
          <w:shd w:val="clear" w:color="auto" w:fill="auto"/>
          <w:lang w:val="en-US" w:eastAsia="zh-CN" w:bidi="zh-TW"/>
        </w:rPr>
        <w:t>为深入推进电力行业信用体系建设高质量发展，助力企业提升信用管理水平，加强行业信用动态管理，构建诚实守信的营商环境，电力行业信用体系建设办公室北京评价咨询中心将按照《中电联关于开展2023年涉电力领域市场主体信用评价工作的通知》（中电联科技〔2023〕4号）文件要求，全面开展北京地区2023年涉电力领域市场主体信用评价工作。具体通知如下:</w:t>
      </w:r>
    </w:p>
    <w:p>
      <w:pPr>
        <w:keepNext w:val="0"/>
        <w:keepLines w:val="0"/>
        <w:widowControl w:val="0"/>
        <w:numPr>
          <w:ilvl w:val="0"/>
          <w:numId w:val="0"/>
        </w:numPr>
        <w:shd w:val="clear" w:color="auto" w:fill="auto"/>
        <w:tabs>
          <w:tab w:val="left" w:pos="1602"/>
        </w:tabs>
        <w:bidi w:val="0"/>
        <w:spacing w:before="0" w:after="0" w:line="360" w:lineRule="auto"/>
        <w:ind w:leftChars="0" w:right="0" w:rightChars="0" w:firstLine="643" w:firstLineChars="200"/>
        <w:jc w:val="both"/>
        <w:rPr>
          <w:rFonts w:hint="eastAsia" w:ascii="仿宋" w:hAnsi="仿宋" w:eastAsia="仿宋" w:cs="仿宋"/>
          <w:b/>
          <w:bCs/>
          <w:color w:val="000000"/>
          <w:spacing w:val="0"/>
          <w:w w:val="100"/>
          <w:position w:val="0"/>
          <w:sz w:val="32"/>
          <w:szCs w:val="32"/>
          <w:u w:val="none"/>
          <w:shd w:val="clear" w:color="auto" w:fill="auto"/>
          <w:lang w:val="en-US" w:eastAsia="zh-CN" w:bidi="zh-TW"/>
        </w:rPr>
      </w:pPr>
      <w:r>
        <w:rPr>
          <w:rFonts w:hint="eastAsia" w:ascii="仿宋" w:hAnsi="仿宋" w:eastAsia="仿宋" w:cs="仿宋"/>
          <w:b/>
          <w:bCs/>
          <w:color w:val="000000"/>
          <w:spacing w:val="0"/>
          <w:w w:val="100"/>
          <w:position w:val="0"/>
          <w:sz w:val="32"/>
          <w:szCs w:val="32"/>
          <w:u w:val="none"/>
          <w:shd w:val="clear" w:color="auto" w:fill="auto"/>
          <w:lang w:val="en-US" w:eastAsia="zh-CN" w:bidi="zh-TW"/>
        </w:rPr>
        <w:t>一、参评类别和企业范围</w:t>
      </w:r>
    </w:p>
    <w:p>
      <w:pPr>
        <w:keepNext w:val="0"/>
        <w:keepLines w:val="0"/>
        <w:widowControl w:val="0"/>
        <w:shd w:val="clear" w:color="auto" w:fill="auto"/>
        <w:tabs>
          <w:tab w:val="left" w:pos="1602"/>
        </w:tabs>
        <w:bidi w:val="0"/>
        <w:spacing w:before="0" w:after="0" w:line="360" w:lineRule="auto"/>
        <w:ind w:right="0" w:firstLine="640" w:firstLineChars="200"/>
        <w:jc w:val="both"/>
        <w:rPr>
          <w:rFonts w:hint="eastAsia" w:ascii="仿宋" w:hAnsi="仿宋" w:eastAsia="仿宋" w:cs="仿宋"/>
          <w:b w:val="0"/>
          <w:bCs w:val="0"/>
          <w:color w:val="000000"/>
          <w:spacing w:val="0"/>
          <w:w w:val="100"/>
          <w:position w:val="0"/>
          <w:sz w:val="32"/>
          <w:szCs w:val="32"/>
          <w:u w:val="none"/>
          <w:shd w:val="clear" w:color="auto" w:fill="auto"/>
          <w:lang w:val="en-US" w:eastAsia="zh-CN" w:bidi="zh-TW"/>
        </w:rPr>
      </w:pPr>
      <w:r>
        <w:rPr>
          <w:rFonts w:hint="eastAsia" w:ascii="仿宋" w:hAnsi="仿宋" w:eastAsia="仿宋" w:cs="仿宋"/>
          <w:b w:val="0"/>
          <w:bCs w:val="0"/>
          <w:color w:val="000000"/>
          <w:spacing w:val="0"/>
          <w:w w:val="100"/>
          <w:position w:val="0"/>
          <w:sz w:val="32"/>
          <w:szCs w:val="32"/>
          <w:u w:val="none"/>
          <w:shd w:val="clear" w:color="auto" w:fill="auto"/>
          <w:lang w:val="en-US" w:eastAsia="zh-CN" w:bidi="zh-TW"/>
        </w:rPr>
        <w:t>（一）初评</w:t>
      </w:r>
    </w:p>
    <w:p>
      <w:pPr>
        <w:keepNext w:val="0"/>
        <w:keepLines w:val="0"/>
        <w:widowControl w:val="0"/>
        <w:shd w:val="clear" w:color="auto" w:fill="auto"/>
        <w:tabs>
          <w:tab w:val="left" w:pos="1602"/>
        </w:tabs>
        <w:bidi w:val="0"/>
        <w:spacing w:before="0" w:after="0" w:line="360" w:lineRule="auto"/>
        <w:ind w:left="0" w:leftChars="0" w:right="0" w:firstLine="640" w:firstLineChars="200"/>
        <w:jc w:val="both"/>
        <w:rPr>
          <w:rFonts w:hint="eastAsia" w:ascii="仿宋" w:hAnsi="仿宋" w:eastAsia="仿宋" w:cs="仿宋"/>
          <w:b w:val="0"/>
          <w:bCs w:val="0"/>
          <w:color w:val="000000"/>
          <w:spacing w:val="0"/>
          <w:w w:val="100"/>
          <w:position w:val="0"/>
          <w:sz w:val="32"/>
          <w:szCs w:val="32"/>
          <w:u w:val="none"/>
          <w:shd w:val="clear" w:color="auto" w:fill="auto"/>
          <w:lang w:val="en-US" w:eastAsia="zh-CN" w:bidi="zh-TW"/>
        </w:rPr>
      </w:pPr>
      <w:r>
        <w:rPr>
          <w:rFonts w:hint="eastAsia" w:ascii="仿宋" w:hAnsi="仿宋" w:eastAsia="仿宋" w:cs="仿宋"/>
          <w:b w:val="0"/>
          <w:bCs w:val="0"/>
          <w:color w:val="000000"/>
          <w:spacing w:val="0"/>
          <w:w w:val="100"/>
          <w:position w:val="0"/>
          <w:sz w:val="32"/>
          <w:szCs w:val="32"/>
          <w:u w:val="none"/>
          <w:shd w:val="clear" w:color="auto" w:fill="auto"/>
          <w:lang w:val="en-US" w:eastAsia="zh-CN" w:bidi="zh-TW"/>
        </w:rPr>
        <w:t>首次参加信用评价工作的涉电力领域市场主体包括: 发电企 业、电网企业、电力建设企业、电力勘察设计企业、电力施工企 业、电力监理企业、电能服务企业、售电公司、电力设备供应商、电力技术服务供应商、电力大用户等。</w:t>
      </w:r>
    </w:p>
    <w:p>
      <w:pPr>
        <w:keepNext w:val="0"/>
        <w:keepLines w:val="0"/>
        <w:widowControl w:val="0"/>
        <w:numPr>
          <w:ilvl w:val="0"/>
          <w:numId w:val="0"/>
        </w:numPr>
        <w:shd w:val="clear" w:color="auto" w:fill="auto"/>
        <w:tabs>
          <w:tab w:val="left" w:pos="1602"/>
        </w:tabs>
        <w:bidi w:val="0"/>
        <w:spacing w:before="0" w:after="0" w:line="360" w:lineRule="auto"/>
        <w:ind w:right="0" w:rightChars="0"/>
        <w:jc w:val="both"/>
        <w:rPr>
          <w:rFonts w:hint="eastAsia" w:ascii="仿宋" w:hAnsi="仿宋" w:eastAsia="仿宋" w:cs="仿宋"/>
          <w:b w:val="0"/>
          <w:bCs w:val="0"/>
          <w:color w:val="000000"/>
          <w:spacing w:val="0"/>
          <w:w w:val="100"/>
          <w:position w:val="0"/>
          <w:sz w:val="32"/>
          <w:szCs w:val="32"/>
          <w:u w:val="none"/>
          <w:shd w:val="clear" w:color="auto" w:fill="auto"/>
          <w:lang w:val="en-US" w:eastAsia="zh-CN" w:bidi="zh-TW"/>
        </w:rPr>
      </w:pPr>
      <w:r>
        <w:rPr>
          <w:rFonts w:hint="eastAsia" w:ascii="仿宋" w:hAnsi="仿宋" w:eastAsia="仿宋" w:cs="仿宋"/>
          <w:b w:val="0"/>
          <w:bCs w:val="0"/>
          <w:color w:val="000000"/>
          <w:spacing w:val="0"/>
          <w:w w:val="100"/>
          <w:position w:val="0"/>
          <w:sz w:val="32"/>
          <w:szCs w:val="32"/>
          <w:u w:val="none"/>
          <w:shd w:val="clear" w:color="auto" w:fill="auto"/>
          <w:lang w:val="en-US" w:eastAsia="zh-CN" w:bidi="zh-TW"/>
        </w:rPr>
        <w:t xml:space="preserve">   （二）复评</w:t>
      </w:r>
    </w:p>
    <w:p>
      <w:pPr>
        <w:keepNext w:val="0"/>
        <w:keepLines w:val="0"/>
        <w:widowControl w:val="0"/>
        <w:numPr>
          <w:ilvl w:val="0"/>
          <w:numId w:val="0"/>
        </w:numPr>
        <w:shd w:val="clear" w:color="auto" w:fill="auto"/>
        <w:tabs>
          <w:tab w:val="left" w:pos="1602"/>
        </w:tabs>
        <w:bidi w:val="0"/>
        <w:spacing w:before="0" w:after="0" w:line="360" w:lineRule="auto"/>
        <w:ind w:right="0" w:rightChars="0" w:firstLine="640" w:firstLineChars="200"/>
        <w:jc w:val="both"/>
        <w:rPr>
          <w:rFonts w:hint="eastAsia" w:ascii="仿宋" w:hAnsi="仿宋" w:eastAsia="仿宋" w:cs="仿宋"/>
          <w:b w:val="0"/>
          <w:bCs w:val="0"/>
          <w:color w:val="000000"/>
          <w:spacing w:val="0"/>
          <w:w w:val="100"/>
          <w:position w:val="0"/>
          <w:sz w:val="32"/>
          <w:szCs w:val="32"/>
          <w:u w:val="none"/>
          <w:shd w:val="clear" w:color="auto" w:fill="auto"/>
          <w:lang w:val="en-US" w:eastAsia="zh-CN" w:bidi="zh-TW"/>
        </w:rPr>
      </w:pPr>
      <w:r>
        <w:rPr>
          <w:rFonts w:hint="eastAsia" w:ascii="仿宋" w:hAnsi="仿宋" w:eastAsia="仿宋" w:cs="仿宋"/>
          <w:b w:val="0"/>
          <w:bCs w:val="0"/>
          <w:color w:val="000000"/>
          <w:spacing w:val="0"/>
          <w:w w:val="100"/>
          <w:position w:val="0"/>
          <w:sz w:val="32"/>
          <w:szCs w:val="32"/>
          <w:u w:val="none"/>
          <w:shd w:val="clear" w:color="auto" w:fill="auto"/>
          <w:lang w:val="en-US" w:eastAsia="zh-CN" w:bidi="zh-TW"/>
        </w:rPr>
        <w:t>2023年到期的北京地区涉电力领域企业，名单见附件。</w:t>
      </w:r>
    </w:p>
    <w:p>
      <w:pPr>
        <w:keepNext w:val="0"/>
        <w:keepLines w:val="0"/>
        <w:widowControl w:val="0"/>
        <w:shd w:val="clear" w:color="auto" w:fill="auto"/>
        <w:tabs>
          <w:tab w:val="left" w:pos="1602"/>
        </w:tabs>
        <w:bidi w:val="0"/>
        <w:spacing w:before="0" w:after="0" w:line="360" w:lineRule="auto"/>
        <w:ind w:left="0" w:leftChars="0" w:right="0" w:firstLine="643" w:firstLineChars="200"/>
        <w:jc w:val="both"/>
        <w:rPr>
          <w:rFonts w:hint="eastAsia" w:ascii="仿宋" w:hAnsi="仿宋" w:eastAsia="仿宋" w:cs="仿宋"/>
          <w:b/>
          <w:bCs/>
          <w:color w:val="000000"/>
          <w:spacing w:val="0"/>
          <w:w w:val="100"/>
          <w:position w:val="0"/>
          <w:sz w:val="32"/>
          <w:szCs w:val="32"/>
          <w:u w:val="none"/>
          <w:shd w:val="clear" w:color="auto" w:fill="auto"/>
          <w:lang w:val="en-US" w:eastAsia="zh-CN" w:bidi="zh-TW"/>
        </w:rPr>
      </w:pPr>
      <w:r>
        <w:rPr>
          <w:rFonts w:hint="eastAsia" w:ascii="仿宋" w:hAnsi="仿宋" w:eastAsia="仿宋" w:cs="仿宋"/>
          <w:b/>
          <w:bCs/>
          <w:color w:val="000000"/>
          <w:spacing w:val="0"/>
          <w:w w:val="100"/>
          <w:position w:val="0"/>
          <w:sz w:val="32"/>
          <w:szCs w:val="32"/>
          <w:u w:val="none"/>
          <w:shd w:val="clear" w:color="auto" w:fill="auto"/>
          <w:lang w:val="en-US" w:eastAsia="zh-CN" w:bidi="zh-TW"/>
        </w:rPr>
        <w:t>二、申报条件</w:t>
      </w:r>
    </w:p>
    <w:p>
      <w:pPr>
        <w:keepNext w:val="0"/>
        <w:keepLines w:val="0"/>
        <w:widowControl w:val="0"/>
        <w:shd w:val="clear" w:color="auto" w:fill="auto"/>
        <w:tabs>
          <w:tab w:val="left" w:pos="1602"/>
        </w:tabs>
        <w:bidi w:val="0"/>
        <w:spacing w:before="0" w:after="0" w:line="360" w:lineRule="auto"/>
        <w:ind w:left="0" w:leftChars="0" w:right="0" w:firstLine="640" w:firstLineChars="200"/>
        <w:jc w:val="both"/>
        <w:rPr>
          <w:rFonts w:hint="eastAsia" w:ascii="仿宋" w:hAnsi="仿宋" w:eastAsia="仿宋" w:cs="仿宋"/>
          <w:b w:val="0"/>
          <w:bCs w:val="0"/>
          <w:color w:val="000000"/>
          <w:spacing w:val="0"/>
          <w:w w:val="100"/>
          <w:position w:val="0"/>
          <w:sz w:val="32"/>
          <w:szCs w:val="32"/>
          <w:u w:val="none"/>
          <w:shd w:val="clear" w:color="auto" w:fill="auto"/>
          <w:lang w:val="en-US" w:eastAsia="zh-CN" w:bidi="zh-TW"/>
        </w:rPr>
      </w:pPr>
      <w:r>
        <w:rPr>
          <w:rFonts w:hint="eastAsia" w:ascii="仿宋" w:hAnsi="仿宋" w:eastAsia="仿宋" w:cs="仿宋"/>
          <w:b w:val="0"/>
          <w:bCs w:val="0"/>
          <w:color w:val="000000"/>
          <w:spacing w:val="0"/>
          <w:w w:val="100"/>
          <w:position w:val="0"/>
          <w:sz w:val="32"/>
          <w:szCs w:val="32"/>
          <w:u w:val="none"/>
          <w:shd w:val="clear" w:color="auto" w:fill="auto"/>
          <w:lang w:val="en-US" w:eastAsia="zh-CN" w:bidi="zh-TW"/>
        </w:rPr>
        <w:t>1.在中国大陆境内注册，依法持有合法经营所需相关证照；</w:t>
      </w:r>
    </w:p>
    <w:p>
      <w:pPr>
        <w:keepNext w:val="0"/>
        <w:keepLines w:val="0"/>
        <w:widowControl w:val="0"/>
        <w:shd w:val="clear" w:color="auto" w:fill="auto"/>
        <w:tabs>
          <w:tab w:val="left" w:pos="1602"/>
        </w:tabs>
        <w:bidi w:val="0"/>
        <w:spacing w:before="0" w:after="0" w:line="360" w:lineRule="auto"/>
        <w:ind w:left="0" w:leftChars="0" w:right="0" w:firstLine="640" w:firstLineChars="200"/>
        <w:jc w:val="both"/>
        <w:rPr>
          <w:rFonts w:hint="eastAsia" w:ascii="仿宋" w:hAnsi="仿宋" w:eastAsia="仿宋" w:cs="仿宋"/>
          <w:b w:val="0"/>
          <w:bCs w:val="0"/>
          <w:color w:val="000000"/>
          <w:spacing w:val="0"/>
          <w:w w:val="100"/>
          <w:position w:val="0"/>
          <w:sz w:val="32"/>
          <w:szCs w:val="32"/>
          <w:u w:val="none"/>
          <w:shd w:val="clear" w:color="auto" w:fill="auto"/>
          <w:lang w:val="en-US" w:eastAsia="zh-CN" w:bidi="zh-TW"/>
        </w:rPr>
      </w:pPr>
      <w:r>
        <w:rPr>
          <w:rFonts w:hint="eastAsia" w:ascii="仿宋" w:hAnsi="仿宋" w:eastAsia="仿宋" w:cs="仿宋"/>
          <w:b w:val="0"/>
          <w:bCs w:val="0"/>
          <w:color w:val="000000"/>
          <w:spacing w:val="0"/>
          <w:w w:val="100"/>
          <w:position w:val="0"/>
          <w:sz w:val="32"/>
          <w:szCs w:val="32"/>
          <w:u w:val="none"/>
          <w:shd w:val="clear" w:color="auto" w:fill="auto"/>
          <w:lang w:val="en-US" w:eastAsia="zh-CN" w:bidi="zh-TW"/>
        </w:rPr>
        <w:t>2.具有1年以上稳定经营记录；</w:t>
      </w:r>
    </w:p>
    <w:p>
      <w:pPr>
        <w:keepNext w:val="0"/>
        <w:keepLines w:val="0"/>
        <w:widowControl w:val="0"/>
        <w:shd w:val="clear" w:color="auto" w:fill="auto"/>
        <w:tabs>
          <w:tab w:val="left" w:pos="1602"/>
        </w:tabs>
        <w:bidi w:val="0"/>
        <w:spacing w:before="0" w:after="0" w:line="360" w:lineRule="auto"/>
        <w:ind w:left="0" w:leftChars="0" w:right="0" w:firstLine="640" w:firstLineChars="200"/>
        <w:jc w:val="both"/>
        <w:rPr>
          <w:rFonts w:hint="eastAsia" w:ascii="仿宋" w:hAnsi="仿宋" w:eastAsia="仿宋" w:cs="仿宋"/>
          <w:b w:val="0"/>
          <w:bCs w:val="0"/>
          <w:color w:val="000000"/>
          <w:spacing w:val="0"/>
          <w:w w:val="100"/>
          <w:position w:val="0"/>
          <w:sz w:val="32"/>
          <w:szCs w:val="32"/>
          <w:u w:val="none"/>
          <w:shd w:val="clear" w:color="auto" w:fill="auto"/>
          <w:lang w:val="en-US" w:eastAsia="zh-CN" w:bidi="zh-TW"/>
        </w:rPr>
      </w:pPr>
      <w:r>
        <w:rPr>
          <w:rFonts w:hint="eastAsia" w:ascii="仿宋" w:hAnsi="仿宋" w:eastAsia="仿宋" w:cs="仿宋"/>
          <w:b w:val="0"/>
          <w:bCs w:val="0"/>
          <w:color w:val="000000"/>
          <w:spacing w:val="0"/>
          <w:w w:val="100"/>
          <w:position w:val="0"/>
          <w:sz w:val="32"/>
          <w:szCs w:val="32"/>
          <w:u w:val="none"/>
          <w:shd w:val="clear" w:color="auto" w:fill="auto"/>
          <w:lang w:val="en-US" w:eastAsia="zh-CN" w:bidi="zh-TW"/>
        </w:rPr>
        <w:t>3.在信用中国网站无失信惩戒信息。</w:t>
      </w:r>
    </w:p>
    <w:p>
      <w:pPr>
        <w:keepNext w:val="0"/>
        <w:keepLines w:val="0"/>
        <w:widowControl w:val="0"/>
        <w:shd w:val="clear" w:color="auto" w:fill="auto"/>
        <w:tabs>
          <w:tab w:val="left" w:pos="1602"/>
        </w:tabs>
        <w:bidi w:val="0"/>
        <w:spacing w:before="0" w:after="0" w:line="360" w:lineRule="auto"/>
        <w:ind w:left="0" w:leftChars="0" w:right="0" w:firstLine="643" w:firstLineChars="200"/>
        <w:jc w:val="both"/>
        <w:rPr>
          <w:rFonts w:hint="eastAsia" w:ascii="仿宋" w:hAnsi="仿宋" w:eastAsia="仿宋" w:cs="仿宋"/>
          <w:b/>
          <w:bCs/>
          <w:color w:val="000000"/>
          <w:spacing w:val="0"/>
          <w:w w:val="100"/>
          <w:position w:val="0"/>
          <w:sz w:val="32"/>
          <w:szCs w:val="32"/>
          <w:u w:val="none"/>
          <w:shd w:val="clear" w:color="auto" w:fill="auto"/>
          <w:lang w:val="en-US" w:eastAsia="zh-CN" w:bidi="zh-TW"/>
        </w:rPr>
      </w:pPr>
      <w:r>
        <w:rPr>
          <w:rFonts w:hint="eastAsia" w:ascii="仿宋" w:hAnsi="仿宋" w:eastAsia="仿宋" w:cs="仿宋"/>
          <w:b/>
          <w:bCs/>
          <w:color w:val="000000"/>
          <w:spacing w:val="0"/>
          <w:w w:val="100"/>
          <w:position w:val="0"/>
          <w:sz w:val="32"/>
          <w:szCs w:val="32"/>
          <w:u w:val="none"/>
          <w:shd w:val="clear" w:color="auto" w:fill="auto"/>
          <w:lang w:val="en-US" w:eastAsia="zh-CN" w:bidi="zh-TW"/>
        </w:rPr>
        <w:t>三、申报时间</w:t>
      </w:r>
    </w:p>
    <w:p>
      <w:pPr>
        <w:keepNext w:val="0"/>
        <w:keepLines w:val="0"/>
        <w:widowControl w:val="0"/>
        <w:shd w:val="clear" w:color="auto" w:fill="auto"/>
        <w:tabs>
          <w:tab w:val="left" w:pos="1602"/>
        </w:tabs>
        <w:bidi w:val="0"/>
        <w:spacing w:before="0" w:after="0" w:line="360" w:lineRule="auto"/>
        <w:ind w:left="0" w:leftChars="0" w:right="0" w:firstLine="640" w:firstLineChars="200"/>
        <w:jc w:val="both"/>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u w:val="none"/>
          <w:shd w:val="clear" w:color="auto" w:fill="auto"/>
          <w:lang w:val="en-US" w:eastAsia="zh-CN" w:bidi="zh-TW"/>
        </w:rPr>
        <w:t>参加初评的涉电领域主题可随时填报，本年度申报截止时间为2023年1</w:t>
      </w:r>
      <w:r>
        <w:rPr>
          <w:rFonts w:hint="eastAsia" w:ascii="仿宋" w:hAnsi="仿宋" w:eastAsia="仿宋" w:cs="仿宋"/>
          <w:b w:val="0"/>
          <w:bCs w:val="0"/>
          <w:color w:val="000000"/>
          <w:spacing w:val="0"/>
          <w:w w:val="100"/>
          <w:position w:val="0"/>
          <w:sz w:val="32"/>
          <w:szCs w:val="32"/>
          <w:lang w:val="en-US" w:eastAsia="zh-CN"/>
        </w:rPr>
        <w:t>1月25日。参加复评的企业请在证书过期前一个月联系申报。</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3" w:firstLineChars="200"/>
        <w:jc w:val="left"/>
        <w:rPr>
          <w:rFonts w:hint="eastAsia" w:ascii="仿宋" w:hAnsi="仿宋" w:eastAsia="仿宋" w:cs="仿宋"/>
          <w:b/>
          <w:bCs/>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四、申报流程</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1.企业填报《2023年度信用评价申请表》发送至协会邮箱，并在"信用电力”网站 http://creditpower.cec.org.cn 完成账号注册后登录企业工作平台，已有账号企业可直接登录平台。</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2.进入信用信息采集页面完成基础资料填报；</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3.进入信用评级页面按照填报要求完善申报材料，提交信用评级申请；</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4.北京评价咨询中心负责北京区域线上初审；</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5.评价结果在“信用电力”网站发布，并报“信用中国”“信用能源”等政府主管部门信用平台进行信息共享。</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3" w:firstLineChars="200"/>
        <w:jc w:val="left"/>
        <w:rPr>
          <w:rFonts w:hint="eastAsia" w:ascii="仿宋" w:hAnsi="仿宋" w:eastAsia="仿宋" w:cs="仿宋"/>
          <w:b/>
          <w:bCs/>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五、评价依据</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协会依据以下评价标准、评分细则以及相关管理办法等对满足申报要求的企业开展信用评价工作：</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default"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1.《电力企业信用评价规范》</w:t>
      </w:r>
      <w:r>
        <w:rPr>
          <w:rFonts w:hint="eastAsia" w:ascii="仿宋" w:hAnsi="仿宋" w:eastAsia="仿宋" w:cs="仿宋"/>
          <w:b w:val="0"/>
          <w:bCs w:val="0"/>
          <w:color w:val="000000"/>
          <w:spacing w:val="0"/>
          <w:w w:val="100"/>
          <w:position w:val="0"/>
          <w:sz w:val="32"/>
          <w:szCs w:val="32"/>
          <w:lang w:val="en-US" w:eastAsia="en-US"/>
        </w:rPr>
        <w:t>(DL/T 1381-2014</w:t>
      </w:r>
      <w:r>
        <w:rPr>
          <w:rFonts w:hint="eastAsia" w:ascii="仿宋" w:hAnsi="仿宋" w:eastAsia="仿宋" w:cs="仿宋"/>
          <w:b w:val="0"/>
          <w:bCs w:val="0"/>
          <w:color w:val="000000"/>
          <w:spacing w:val="0"/>
          <w:w w:val="100"/>
          <w:position w:val="0"/>
          <w:sz w:val="32"/>
          <w:szCs w:val="32"/>
          <w:lang w:val="en-US" w:eastAsia="zh-CN"/>
        </w:rPr>
        <w:t>）;</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2.《电力行业供应商信用评价规范》（DL/T 1383-2014 ）;</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3.《新能源发电企业信用评价评分细则（试行）》；</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4.《售电公司信用评价评分细则（试行）》；</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5.《电力施工企业信用评价评分细则（试行）》；</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6.《电力监理企业信用评价评分细则（试行）》；</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7.《电力承装（修、试）企业信用评价评分细则（试行）》。</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3" w:firstLineChars="200"/>
        <w:jc w:val="left"/>
        <w:rPr>
          <w:rFonts w:hint="eastAsia" w:ascii="仿宋" w:hAnsi="仿宋" w:eastAsia="仿宋" w:cs="仿宋"/>
          <w:b/>
          <w:bCs/>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六、申报要求</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（一）请各申报企业对照信用电力平台填报要求，如实填报近三年企业关于生产经营、财务管理、人力资源、企业管理等方面的数据和资料，力求做到全面、准确反映企业信用状况。</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（二）因部分企业在第一季度无法获取上一年度审计报告，因此第一季度参评企业可填报2019-2021年数据，第二、三、四季度参评企业需填报2020-2022年数据。</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（三）在规定时限内无故未参加复评的信用企业，其现有信用等级有效期满后将自动失效。再次参加信用评价工作时，按照首次评价程序进行评价。</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（四）依据国家能源局印发的《能源行业市场主体信用评价工作管理办法》，企业信用等级有效期为二年。</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3" w:firstLineChars="200"/>
        <w:jc w:val="left"/>
        <w:rPr>
          <w:rFonts w:hint="eastAsia" w:ascii="仿宋" w:hAnsi="仿宋" w:eastAsia="仿宋" w:cs="仿宋"/>
          <w:b/>
          <w:bCs/>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七、联系方式</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邮箱：bjdlxh@vip.163.com</w:t>
      </w:r>
    </w:p>
    <w:p>
      <w:pPr>
        <w:pStyle w:val="11"/>
        <w:keepNext w:val="0"/>
        <w:keepLines w:val="0"/>
        <w:widowControl w:val="0"/>
        <w:shd w:val="clear" w:color="auto" w:fill="auto"/>
        <w:tabs>
          <w:tab w:val="left" w:pos="1275"/>
        </w:tabs>
        <w:autoSpaceDE/>
        <w:autoSpaceDN/>
        <w:bidi w:val="0"/>
        <w:spacing w:before="0" w:after="0" w:line="360" w:lineRule="auto"/>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联系人及电话：杨老师  010-83670369、15201350896</w:t>
      </w:r>
    </w:p>
    <w:p>
      <w:pPr>
        <w:pStyle w:val="11"/>
        <w:keepNext w:val="0"/>
        <w:keepLines w:val="0"/>
        <w:widowControl w:val="0"/>
        <w:shd w:val="clear" w:color="auto" w:fill="auto"/>
        <w:tabs>
          <w:tab w:val="left" w:pos="1275"/>
        </w:tabs>
        <w:autoSpaceDE/>
        <w:autoSpaceDN/>
        <w:bidi w:val="0"/>
        <w:spacing w:before="0" w:after="0" w:line="629" w:lineRule="exact"/>
        <w:ind w:left="0" w:leftChars="0" w:right="0" w:firstLine="640" w:firstLineChars="200"/>
        <w:jc w:val="left"/>
        <w:rPr>
          <w:rFonts w:hint="eastAsia" w:ascii="仿宋" w:hAnsi="仿宋" w:eastAsia="仿宋" w:cs="仿宋"/>
          <w:b w:val="0"/>
          <w:bCs w:val="0"/>
          <w:color w:val="000000"/>
          <w:spacing w:val="0"/>
          <w:w w:val="100"/>
          <w:position w:val="0"/>
          <w:sz w:val="32"/>
          <w:szCs w:val="32"/>
          <w:lang w:val="en-US" w:eastAsia="zh-CN"/>
        </w:rPr>
      </w:pPr>
    </w:p>
    <w:p>
      <w:pPr>
        <w:widowControl/>
        <w:spacing w:line="560" w:lineRule="exact"/>
        <w:ind w:firstLine="960" w:firstLineChars="300"/>
        <w:jc w:val="left"/>
        <w:rPr>
          <w:rFonts w:hint="eastAsia" w:ascii="仿宋" w:hAnsi="仿宋" w:eastAsia="仿宋" w:cs="仿宋"/>
          <w:color w:val="000000"/>
          <w:spacing w:val="0"/>
          <w:w w:val="100"/>
          <w:kern w:val="2"/>
          <w:position w:val="0"/>
          <w:sz w:val="32"/>
          <w:szCs w:val="32"/>
          <w:u w:val="none"/>
          <w:shd w:val="clear" w:color="auto" w:fill="auto"/>
          <w:lang w:val="en-US" w:eastAsia="zh-CN" w:bidi="zh-TW"/>
        </w:rPr>
      </w:pPr>
      <w:r>
        <w:rPr>
          <w:rFonts w:hint="eastAsia" w:ascii="仿宋" w:hAnsi="仿宋" w:eastAsia="仿宋" w:cs="仿宋"/>
          <w:color w:val="000000"/>
          <w:spacing w:val="0"/>
          <w:w w:val="100"/>
          <w:kern w:val="2"/>
          <w:position w:val="0"/>
          <w:sz w:val="32"/>
          <w:szCs w:val="32"/>
          <w:u w:val="none"/>
          <w:shd w:val="clear" w:color="auto" w:fill="auto"/>
          <w:lang w:val="en-US" w:eastAsia="zh-CN" w:bidi="zh-TW"/>
        </w:rPr>
        <w:t>附件1：2023年度信用评价申请表</w:t>
      </w:r>
    </w:p>
    <w:p>
      <w:pPr>
        <w:widowControl/>
        <w:spacing w:line="560" w:lineRule="exact"/>
        <w:ind w:firstLine="960" w:firstLineChars="300"/>
        <w:jc w:val="left"/>
        <w:rPr>
          <w:rFonts w:hint="eastAsia" w:ascii="仿宋" w:hAnsi="仿宋" w:eastAsia="仿宋" w:cs="仿宋"/>
          <w:b w:val="0"/>
          <w:bCs w:val="0"/>
          <w:color w:val="000000"/>
          <w:spacing w:val="0"/>
          <w:w w:val="100"/>
          <w:position w:val="0"/>
          <w:sz w:val="32"/>
          <w:szCs w:val="32"/>
          <w:u w:val="none"/>
          <w:shd w:val="clear" w:color="auto" w:fill="auto"/>
          <w:lang w:val="en-US" w:eastAsia="zh-CN" w:bidi="zh-TW"/>
        </w:rPr>
      </w:pPr>
      <w:r>
        <w:rPr>
          <w:rFonts w:hint="eastAsia" w:ascii="仿宋" w:hAnsi="仿宋" w:eastAsia="仿宋" w:cs="仿宋"/>
          <w:color w:val="000000"/>
          <w:spacing w:val="0"/>
          <w:w w:val="100"/>
          <w:kern w:val="2"/>
          <w:position w:val="0"/>
          <w:sz w:val="32"/>
          <w:szCs w:val="32"/>
          <w:u w:val="none"/>
          <w:shd w:val="clear" w:color="auto" w:fill="auto"/>
          <w:lang w:val="en-US" w:eastAsia="zh-CN" w:bidi="zh-TW"/>
        </w:rPr>
        <w:t>附件2：</w:t>
      </w:r>
      <w:r>
        <w:rPr>
          <w:rFonts w:hint="eastAsia" w:ascii="仿宋" w:hAnsi="仿宋" w:eastAsia="仿宋" w:cs="仿宋"/>
          <w:b w:val="0"/>
          <w:bCs w:val="0"/>
          <w:color w:val="000000"/>
          <w:spacing w:val="0"/>
          <w:w w:val="100"/>
          <w:position w:val="0"/>
          <w:sz w:val="32"/>
          <w:szCs w:val="32"/>
          <w:u w:val="none"/>
          <w:shd w:val="clear" w:color="auto" w:fill="auto"/>
          <w:lang w:val="en-US" w:eastAsia="zh-CN" w:bidi="zh-TW"/>
        </w:rPr>
        <w:t>2023年度信用复评北京企业名单</w:t>
      </w:r>
    </w:p>
    <w:p>
      <w:pPr>
        <w:widowControl/>
        <w:spacing w:line="560" w:lineRule="exact"/>
        <w:ind w:firstLine="960" w:firstLineChars="300"/>
        <w:jc w:val="left"/>
        <w:rPr>
          <w:rFonts w:hint="eastAsia" w:ascii="仿宋" w:hAnsi="仿宋" w:eastAsia="仿宋" w:cs="仿宋"/>
          <w:b w:val="0"/>
          <w:bCs w:val="0"/>
          <w:color w:val="000000"/>
          <w:spacing w:val="0"/>
          <w:w w:val="100"/>
          <w:position w:val="0"/>
          <w:sz w:val="32"/>
          <w:szCs w:val="32"/>
          <w:u w:val="none"/>
          <w:shd w:val="clear" w:color="auto" w:fill="auto"/>
          <w:lang w:val="en-US" w:eastAsia="zh-CN" w:bidi="zh-TW"/>
        </w:rPr>
      </w:pPr>
    </w:p>
    <w:p>
      <w:pPr>
        <w:pStyle w:val="2"/>
        <w:spacing w:line="360" w:lineRule="auto"/>
        <w:jc w:val="both"/>
        <w:rPr>
          <w:rFonts w:hint="eastAsia" w:ascii="仿宋" w:hAnsi="仿宋" w:eastAsia="仿宋" w:cs="仿宋"/>
          <w:color w:val="000000"/>
          <w:spacing w:val="0"/>
          <w:w w:val="100"/>
          <w:kern w:val="2"/>
          <w:position w:val="0"/>
          <w:sz w:val="32"/>
          <w:szCs w:val="32"/>
          <w:u w:val="none"/>
          <w:shd w:val="clear" w:color="auto" w:fill="auto"/>
          <w:lang w:val="en-US" w:eastAsia="zh-CN" w:bidi="zh-TW"/>
        </w:rPr>
      </w:pPr>
      <w:bookmarkStart w:id="0" w:name="_GoBack"/>
      <w:bookmarkEnd w:id="0"/>
    </w:p>
    <w:p>
      <w:pPr>
        <w:spacing w:before="1"/>
        <w:ind w:right="0"/>
        <w:jc w:val="right"/>
        <w:rPr>
          <w:rFonts w:hint="eastAsia" w:ascii="仿宋" w:hAnsi="仿宋" w:eastAsia="仿宋" w:cs="仿宋"/>
          <w:sz w:val="32"/>
          <w:szCs w:val="32"/>
        </w:rPr>
      </w:pPr>
    </w:p>
    <w:p>
      <w:pPr>
        <w:spacing w:before="1"/>
        <w:ind w:right="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北京市电力行业协会</w:t>
      </w:r>
    </w:p>
    <w:p>
      <w:pPr>
        <w:spacing w:before="1"/>
        <w:ind w:right="0"/>
        <w:jc w:val="center"/>
        <w:rPr>
          <w:rFonts w:hint="eastAsia" w:ascii="宋体" w:eastAsia="宋体"/>
          <w:sz w:val="30"/>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（北京评价咨询中心</w:t>
      </w:r>
      <w:r>
        <w:rPr>
          <w:rFonts w:hint="eastAsia" w:ascii="宋体" w:eastAsia="宋体"/>
          <w:sz w:val="30"/>
        </w:rPr>
        <w:t>）</w:t>
      </w:r>
    </w:p>
    <w:p>
      <w:pPr>
        <w:spacing w:before="1"/>
        <w:ind w:right="0"/>
        <w:jc w:val="center"/>
        <w:rPr>
          <w:rFonts w:hint="eastAsia" w:ascii="宋体" w:eastAsia="宋体"/>
          <w:sz w:val="30"/>
        </w:rPr>
      </w:pPr>
      <w:r>
        <w:rPr>
          <w:rFonts w:hint="eastAsia" w:ascii="宋体" w:eastAsia="宋体"/>
          <w:sz w:val="30"/>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年1月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spacing w:before="68"/>
        <w:ind w:right="3016"/>
        <w:jc w:val="both"/>
        <w:rPr>
          <w:rFonts w:ascii="Times New Roman" w:hAnsi="Times New Roman"/>
          <w:sz w:val="24"/>
        </w:rPr>
      </w:pPr>
    </w:p>
    <w:p>
      <w:pPr>
        <w:spacing w:beforeLines="100" w:afterLines="100" w:line="600" w:lineRule="exact"/>
        <w:jc w:val="left"/>
        <w:rPr>
          <w:rFonts w:hint="eastAsia" w:ascii="方正小标宋简体" w:hAnsi="仿宋" w:eastAsia="方正小标宋简体"/>
          <w:sz w:val="36"/>
          <w:szCs w:val="36"/>
          <w:lang w:val="en-US" w:eastAsia="zh-CN"/>
        </w:rPr>
      </w:pPr>
    </w:p>
    <w:p>
      <w:pPr>
        <w:spacing w:beforeLines="100" w:afterLines="100" w:line="600" w:lineRule="exact"/>
        <w:jc w:val="left"/>
        <w:rPr>
          <w:rFonts w:hint="eastAsia" w:ascii="方正小标宋简体" w:hAnsi="仿宋" w:eastAsia="方正小标宋简体"/>
          <w:sz w:val="36"/>
          <w:szCs w:val="36"/>
          <w:lang w:val="en-US" w:eastAsia="zh-CN"/>
        </w:rPr>
      </w:pPr>
    </w:p>
    <w:p>
      <w:pPr>
        <w:spacing w:beforeLines="100" w:afterLines="100" w:line="600" w:lineRule="exact"/>
        <w:jc w:val="left"/>
        <w:rPr>
          <w:rFonts w:hint="eastAsia" w:ascii="方正小标宋简体" w:hAnsi="仿宋" w:eastAsia="方正小标宋简体"/>
          <w:sz w:val="36"/>
          <w:szCs w:val="36"/>
          <w:lang w:val="en-US" w:eastAsia="zh-CN"/>
        </w:rPr>
      </w:pPr>
    </w:p>
    <w:p>
      <w:pPr>
        <w:spacing w:beforeLines="100" w:afterLines="100" w:line="600" w:lineRule="exact"/>
        <w:jc w:val="left"/>
        <w:rPr>
          <w:rFonts w:hint="eastAsia" w:ascii="方正小标宋简体" w:hAnsi="仿宋" w:eastAsia="方正小标宋简体"/>
          <w:sz w:val="36"/>
          <w:szCs w:val="36"/>
          <w:lang w:val="en-US" w:eastAsia="zh-CN"/>
        </w:rPr>
      </w:pPr>
    </w:p>
    <w:p>
      <w:pPr>
        <w:spacing w:beforeLines="100" w:afterLines="100" w:line="600" w:lineRule="exact"/>
        <w:jc w:val="left"/>
        <w:rPr>
          <w:rFonts w:hint="eastAsia" w:ascii="方正小标宋简体" w:hAnsi="仿宋" w:eastAsia="方正小标宋简体"/>
          <w:sz w:val="36"/>
          <w:szCs w:val="36"/>
          <w:lang w:val="en-US" w:eastAsia="zh-CN"/>
        </w:rPr>
      </w:pPr>
    </w:p>
    <w:p>
      <w:pPr>
        <w:spacing w:beforeLines="100" w:afterLines="100" w:line="600" w:lineRule="exact"/>
        <w:jc w:val="left"/>
        <w:rPr>
          <w:rFonts w:hint="eastAsia" w:ascii="方正小标宋简体" w:hAnsi="仿宋" w:eastAsia="方正小标宋简体"/>
          <w:sz w:val="36"/>
          <w:szCs w:val="36"/>
          <w:lang w:val="en-US" w:eastAsia="zh-CN"/>
        </w:rPr>
      </w:pPr>
    </w:p>
    <w:p>
      <w:pPr>
        <w:spacing w:beforeLines="100" w:afterLines="100" w:line="600" w:lineRule="exact"/>
        <w:jc w:val="left"/>
        <w:rPr>
          <w:rFonts w:hint="eastAsia" w:ascii="方正小标宋简体" w:hAnsi="仿宋" w:eastAsia="方正小标宋简体"/>
          <w:sz w:val="36"/>
          <w:szCs w:val="36"/>
          <w:lang w:val="en-US" w:eastAsia="zh-CN"/>
        </w:rPr>
      </w:pPr>
    </w:p>
    <w:p>
      <w:pPr>
        <w:spacing w:beforeLines="100" w:afterLines="100" w:line="600" w:lineRule="exact"/>
        <w:jc w:val="left"/>
        <w:rPr>
          <w:rFonts w:hint="eastAsia" w:ascii="方正小标宋简体" w:hAnsi="仿宋" w:eastAsia="方正小标宋简体"/>
          <w:sz w:val="36"/>
          <w:szCs w:val="36"/>
          <w:lang w:val="en-US" w:eastAsia="zh-CN"/>
        </w:rPr>
      </w:pPr>
    </w:p>
    <w:p>
      <w:pPr>
        <w:spacing w:beforeLines="100" w:afterLines="100" w:line="600" w:lineRule="exact"/>
        <w:jc w:val="left"/>
        <w:rPr>
          <w:rFonts w:hint="eastAsia" w:ascii="方正小标宋简体" w:hAnsi="仿宋" w:eastAsia="方正小标宋简体"/>
          <w:sz w:val="36"/>
          <w:szCs w:val="36"/>
          <w:lang w:val="en-US" w:eastAsia="zh-CN"/>
        </w:rPr>
      </w:pPr>
    </w:p>
    <w:p>
      <w:pPr>
        <w:spacing w:beforeLines="100" w:afterLines="100" w:line="600" w:lineRule="exact"/>
        <w:jc w:val="left"/>
        <w:rPr>
          <w:rFonts w:hint="eastAsia" w:ascii="方正小标宋简体" w:hAnsi="仿宋" w:eastAsia="方正小标宋简体"/>
          <w:sz w:val="36"/>
          <w:szCs w:val="36"/>
          <w:lang w:val="en-US" w:eastAsia="zh-CN"/>
        </w:rPr>
      </w:pPr>
    </w:p>
    <w:p>
      <w:pPr>
        <w:spacing w:beforeLines="100" w:afterLines="100" w:line="600" w:lineRule="exact"/>
        <w:jc w:val="left"/>
        <w:rPr>
          <w:rFonts w:hint="eastAsia" w:ascii="方正小标宋简体" w:hAnsi="仿宋" w:eastAsia="方正小标宋简体"/>
          <w:sz w:val="36"/>
          <w:szCs w:val="36"/>
          <w:lang w:val="en-US" w:eastAsia="zh-CN"/>
        </w:rPr>
      </w:pPr>
    </w:p>
    <w:p>
      <w:pPr>
        <w:spacing w:beforeLines="100" w:afterLines="100" w:line="600" w:lineRule="exact"/>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附件1</w:t>
      </w:r>
    </w:p>
    <w:p>
      <w:pPr>
        <w:spacing w:beforeLines="100" w:afterLines="100" w:line="600" w:lineRule="exact"/>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202</w:t>
      </w:r>
      <w:r>
        <w:rPr>
          <w:rFonts w:hint="eastAsia" w:asciiTheme="majorEastAsia" w:hAnsiTheme="majorEastAsia" w:eastAsiaTheme="majorEastAsia" w:cstheme="majorEastAsia"/>
          <w:sz w:val="36"/>
          <w:szCs w:val="36"/>
          <w:lang w:val="en-US" w:eastAsia="zh-CN"/>
        </w:rPr>
        <w:t>3</w:t>
      </w:r>
      <w:r>
        <w:rPr>
          <w:rFonts w:hint="eastAsia" w:asciiTheme="majorEastAsia" w:hAnsiTheme="majorEastAsia" w:eastAsiaTheme="majorEastAsia" w:cstheme="majorEastAsia"/>
          <w:sz w:val="36"/>
          <w:szCs w:val="36"/>
        </w:rPr>
        <w:t>年度信用评价申请表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653"/>
        <w:gridCol w:w="919"/>
        <w:gridCol w:w="1928"/>
        <w:gridCol w:w="1408"/>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68" w:type="dxa"/>
          </w:tcPr>
          <w:p>
            <w:pPr>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企业名称</w:t>
            </w:r>
          </w:p>
        </w:tc>
        <w:tc>
          <w:tcPr>
            <w:tcW w:w="7768" w:type="dxa"/>
            <w:gridSpan w:val="5"/>
          </w:tcPr>
          <w:p>
            <w:pPr>
              <w:jc w:val="left"/>
              <w:rPr>
                <w:rFonts w:hint="eastAsia" w:ascii="Times New Roman"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68" w:type="dxa"/>
          </w:tcPr>
          <w:p>
            <w:pPr>
              <w:jc w:val="center"/>
              <w:rPr>
                <w:rFonts w:hint="eastAsia"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联系人</w:t>
            </w:r>
          </w:p>
        </w:tc>
        <w:tc>
          <w:tcPr>
            <w:tcW w:w="1653" w:type="dxa"/>
          </w:tcPr>
          <w:p>
            <w:pPr>
              <w:jc w:val="left"/>
              <w:rPr>
                <w:rFonts w:hint="eastAsia" w:ascii="Times New Roman" w:hAnsi="Times New Roman" w:eastAsia="仿宋_GB2312"/>
                <w:color w:val="000000"/>
                <w:kern w:val="0"/>
                <w:sz w:val="28"/>
                <w:szCs w:val="28"/>
              </w:rPr>
            </w:pPr>
          </w:p>
        </w:tc>
        <w:tc>
          <w:tcPr>
            <w:tcW w:w="919" w:type="dxa"/>
          </w:tcPr>
          <w:p>
            <w:pPr>
              <w:jc w:val="center"/>
              <w:rPr>
                <w:rFonts w:hint="eastAsia"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座机</w:t>
            </w:r>
          </w:p>
        </w:tc>
        <w:tc>
          <w:tcPr>
            <w:tcW w:w="1928" w:type="dxa"/>
          </w:tcPr>
          <w:p>
            <w:pPr>
              <w:jc w:val="left"/>
              <w:rPr>
                <w:rFonts w:ascii="Times New Roman" w:hAnsi="Times New Roman" w:eastAsia="仿宋_GB2312"/>
                <w:color w:val="000000"/>
                <w:kern w:val="0"/>
                <w:sz w:val="28"/>
                <w:szCs w:val="28"/>
              </w:rPr>
            </w:pPr>
          </w:p>
        </w:tc>
        <w:tc>
          <w:tcPr>
            <w:tcW w:w="1408" w:type="dxa"/>
          </w:tcPr>
          <w:p>
            <w:pPr>
              <w:jc w:val="center"/>
              <w:rPr>
                <w:rFonts w:hint="eastAsia"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手机</w:t>
            </w:r>
          </w:p>
        </w:tc>
        <w:tc>
          <w:tcPr>
            <w:tcW w:w="1860" w:type="dxa"/>
          </w:tcPr>
          <w:p>
            <w:pPr>
              <w:jc w:val="left"/>
              <w:rPr>
                <w:rFonts w:ascii="Times New Roman"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tcPr>
          <w:p>
            <w:pPr>
              <w:jc w:val="center"/>
              <w:rPr>
                <w:rFonts w:hint="eastAsia"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电子邮箱</w:t>
            </w:r>
          </w:p>
        </w:tc>
        <w:tc>
          <w:tcPr>
            <w:tcW w:w="4500" w:type="dxa"/>
            <w:gridSpan w:val="3"/>
          </w:tcPr>
          <w:p>
            <w:pPr>
              <w:jc w:val="left"/>
              <w:rPr>
                <w:rFonts w:hint="eastAsia" w:ascii="Times New Roman" w:hAnsi="Times New Roman" w:eastAsia="仿宋_GB2312"/>
                <w:color w:val="000000"/>
                <w:kern w:val="0"/>
                <w:sz w:val="28"/>
                <w:szCs w:val="28"/>
              </w:rPr>
            </w:pPr>
          </w:p>
        </w:tc>
        <w:tc>
          <w:tcPr>
            <w:tcW w:w="1408" w:type="dxa"/>
          </w:tcPr>
          <w:p>
            <w:pPr>
              <w:jc w:val="center"/>
              <w:rPr>
                <w:rFonts w:hint="eastAsia"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邮编</w:t>
            </w:r>
          </w:p>
        </w:tc>
        <w:tc>
          <w:tcPr>
            <w:tcW w:w="1860" w:type="dxa"/>
          </w:tcPr>
          <w:p>
            <w:pPr>
              <w:jc w:val="left"/>
              <w:rPr>
                <w:rFonts w:hint="eastAsia" w:ascii="Times New Roman"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tcPr>
          <w:p>
            <w:pPr>
              <w:jc w:val="center"/>
              <w:rPr>
                <w:rFonts w:hint="eastAsia"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工作地址</w:t>
            </w:r>
          </w:p>
        </w:tc>
        <w:tc>
          <w:tcPr>
            <w:tcW w:w="7768" w:type="dxa"/>
            <w:gridSpan w:val="5"/>
          </w:tcPr>
          <w:p>
            <w:pPr>
              <w:jc w:val="left"/>
              <w:rPr>
                <w:rFonts w:hint="eastAsia" w:ascii="Times New Roman" w:hAnsi="Times New Roman"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1" w:hRule="atLeast"/>
          <w:jc w:val="center"/>
        </w:trPr>
        <w:tc>
          <w:tcPr>
            <w:tcW w:w="1468" w:type="dxa"/>
          </w:tcPr>
          <w:p>
            <w:pPr>
              <w:ind w:firstLine="280" w:firstLineChars="100"/>
              <w:jc w:val="left"/>
              <w:rPr>
                <w:rFonts w:hint="eastAsia" w:ascii="Times New Roman" w:hAnsi="Times New Roman" w:eastAsia="仿宋_GB2312"/>
                <w:color w:val="000000"/>
                <w:kern w:val="0"/>
                <w:sz w:val="28"/>
                <w:szCs w:val="28"/>
              </w:rPr>
            </w:pPr>
          </w:p>
          <w:p>
            <w:pPr>
              <w:ind w:firstLine="280" w:firstLineChars="100"/>
              <w:jc w:val="left"/>
              <w:rPr>
                <w:rFonts w:hint="eastAsia" w:ascii="Times New Roman" w:hAnsi="Times New Roman" w:eastAsia="仿宋_GB2312"/>
                <w:color w:val="000000"/>
                <w:kern w:val="0"/>
                <w:sz w:val="28"/>
                <w:szCs w:val="28"/>
              </w:rPr>
            </w:pPr>
          </w:p>
          <w:p>
            <w:pPr>
              <w:ind w:firstLine="280" w:firstLineChars="100"/>
              <w:jc w:val="left"/>
              <w:rPr>
                <w:rFonts w:hint="eastAsia" w:ascii="Times New Roman" w:hAnsi="Times New Roman" w:eastAsia="仿宋_GB2312"/>
                <w:color w:val="000000"/>
                <w:kern w:val="0"/>
                <w:sz w:val="28"/>
                <w:szCs w:val="28"/>
              </w:rPr>
            </w:pPr>
          </w:p>
          <w:p>
            <w:pPr>
              <w:ind w:firstLine="280" w:firstLineChars="100"/>
              <w:jc w:val="left"/>
              <w:rPr>
                <w:rFonts w:hint="eastAsia"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企</w:t>
            </w:r>
          </w:p>
          <w:p>
            <w:pPr>
              <w:ind w:firstLine="280" w:firstLineChars="100"/>
              <w:jc w:val="left"/>
              <w:rPr>
                <w:rFonts w:hint="eastAsia"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业</w:t>
            </w:r>
          </w:p>
          <w:p>
            <w:pPr>
              <w:ind w:firstLine="280" w:firstLineChars="100"/>
              <w:jc w:val="left"/>
              <w:rPr>
                <w:rFonts w:hint="eastAsia"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 xml:space="preserve">简 </w:t>
            </w:r>
          </w:p>
          <w:p>
            <w:pPr>
              <w:ind w:firstLine="280" w:firstLineChars="100"/>
              <w:jc w:val="left"/>
              <w:rPr>
                <w:rFonts w:hint="eastAsia"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介</w:t>
            </w:r>
          </w:p>
        </w:tc>
        <w:tc>
          <w:tcPr>
            <w:tcW w:w="7768" w:type="dxa"/>
            <w:gridSpan w:val="5"/>
          </w:tcPr>
          <w:p>
            <w:pPr>
              <w:jc w:val="left"/>
              <w:rPr>
                <w:rFonts w:hint="eastAsia" w:ascii="Times New Roman" w:hAnsi="Times New Roman" w:eastAsia="仿宋_GB2312"/>
                <w:color w:val="000000"/>
                <w:kern w:val="0"/>
                <w:sz w:val="28"/>
                <w:szCs w:val="28"/>
              </w:rPr>
            </w:pPr>
          </w:p>
          <w:p>
            <w:pPr>
              <w:jc w:val="left"/>
              <w:rPr>
                <w:rFonts w:hint="eastAsia" w:ascii="Times New Roman" w:hAnsi="Times New Roman" w:eastAsia="仿宋_GB2312"/>
                <w:color w:val="000000"/>
                <w:kern w:val="0"/>
                <w:sz w:val="28"/>
                <w:szCs w:val="28"/>
              </w:rPr>
            </w:pPr>
          </w:p>
          <w:p>
            <w:pPr>
              <w:jc w:val="left"/>
              <w:rPr>
                <w:rFonts w:hint="eastAsia" w:ascii="Times New Roman" w:hAnsi="Times New Roman" w:eastAsia="仿宋_GB2312"/>
                <w:color w:val="000000"/>
                <w:kern w:val="0"/>
                <w:sz w:val="28"/>
                <w:szCs w:val="28"/>
              </w:rPr>
            </w:pPr>
          </w:p>
          <w:p>
            <w:pPr>
              <w:jc w:val="left"/>
              <w:rPr>
                <w:rFonts w:hint="eastAsia" w:ascii="Times New Roman" w:hAnsi="Times New Roman" w:eastAsia="仿宋_GB2312"/>
                <w:color w:val="000000"/>
                <w:kern w:val="0"/>
                <w:sz w:val="28"/>
                <w:szCs w:val="28"/>
              </w:rPr>
            </w:pPr>
          </w:p>
          <w:p>
            <w:pPr>
              <w:jc w:val="left"/>
              <w:rPr>
                <w:rFonts w:hint="eastAsia" w:ascii="Times New Roman" w:hAnsi="Times New Roman" w:eastAsia="仿宋_GB2312"/>
                <w:color w:val="000000"/>
                <w:kern w:val="0"/>
                <w:sz w:val="28"/>
                <w:szCs w:val="28"/>
              </w:rPr>
            </w:pPr>
          </w:p>
          <w:p>
            <w:pPr>
              <w:jc w:val="left"/>
              <w:rPr>
                <w:rFonts w:hint="eastAsia" w:ascii="Times New Roman" w:hAnsi="Times New Roman" w:eastAsia="仿宋_GB2312"/>
                <w:color w:val="000000"/>
                <w:kern w:val="0"/>
                <w:sz w:val="28"/>
                <w:szCs w:val="28"/>
              </w:rPr>
            </w:pPr>
          </w:p>
          <w:p>
            <w:pPr>
              <w:jc w:val="left"/>
              <w:rPr>
                <w:rFonts w:hint="eastAsia" w:ascii="Times New Roman" w:hAnsi="Times New Roman" w:eastAsia="仿宋_GB2312"/>
                <w:color w:val="000000"/>
                <w:kern w:val="0"/>
                <w:sz w:val="28"/>
                <w:szCs w:val="28"/>
              </w:rPr>
            </w:pPr>
          </w:p>
          <w:p>
            <w:pPr>
              <w:jc w:val="left"/>
              <w:rPr>
                <w:rFonts w:hint="eastAsia" w:ascii="Times New Roman" w:hAnsi="Times New Roman" w:eastAsia="仿宋_GB2312"/>
                <w:color w:val="000000"/>
                <w:kern w:val="0"/>
                <w:sz w:val="28"/>
                <w:szCs w:val="28"/>
              </w:rPr>
            </w:pPr>
          </w:p>
          <w:p>
            <w:pPr>
              <w:jc w:val="left"/>
              <w:rPr>
                <w:rFonts w:hint="eastAsia" w:ascii="Times New Roman" w:hAnsi="Times New Roman" w:eastAsia="仿宋_GB2312"/>
                <w:color w:val="000000"/>
                <w:kern w:val="0"/>
                <w:sz w:val="28"/>
                <w:szCs w:val="28"/>
              </w:rPr>
            </w:pPr>
          </w:p>
          <w:p>
            <w:pPr>
              <w:jc w:val="left"/>
              <w:rPr>
                <w:rFonts w:hint="eastAsia" w:ascii="Times New Roman" w:hAnsi="Times New Roman" w:eastAsia="仿宋_GB2312"/>
                <w:color w:val="000000"/>
                <w:kern w:val="0"/>
                <w:sz w:val="28"/>
                <w:szCs w:val="28"/>
              </w:rPr>
            </w:pPr>
          </w:p>
          <w:p>
            <w:pPr>
              <w:jc w:val="left"/>
              <w:rPr>
                <w:rFonts w:hint="eastAsia" w:ascii="Times New Roman" w:hAnsi="Times New Roman" w:eastAsia="仿宋_GB2312"/>
                <w:color w:val="000000"/>
                <w:kern w:val="0"/>
                <w:sz w:val="28"/>
                <w:szCs w:val="28"/>
              </w:rPr>
            </w:pPr>
          </w:p>
        </w:tc>
      </w:tr>
    </w:tbl>
    <w:p>
      <w:pPr>
        <w:spacing w:before="68"/>
        <w:ind w:left="2550" w:right="3016" w:firstLine="0"/>
        <w:jc w:val="center"/>
        <w:rPr>
          <w:rFonts w:ascii="Times New Roman" w:hAnsi="Times New Roman"/>
          <w:sz w:val="24"/>
        </w:rPr>
        <w:sectPr>
          <w:footerReference r:id="rId5" w:type="default"/>
          <w:type w:val="continuous"/>
          <w:pgSz w:w="11910" w:h="16840"/>
          <w:pgMar w:top="1600" w:right="1160" w:bottom="280" w:left="1680" w:header="720" w:footer="720" w:gutter="0"/>
          <w:pgNumType w:fmt="decimal"/>
          <w:cols w:space="720" w:num="1"/>
        </w:sectPr>
      </w:pPr>
    </w:p>
    <w:p>
      <w:pPr>
        <w:spacing w:beforeLines="100" w:afterLines="100" w:line="600" w:lineRule="exact"/>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附件2：</w:t>
      </w:r>
    </w:p>
    <w:p>
      <w:pPr>
        <w:spacing w:beforeLines="100" w:afterLines="100" w:line="600" w:lineRule="exact"/>
        <w:jc w:val="center"/>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lang w:val="en-US" w:eastAsia="zh-CN"/>
        </w:rPr>
        <w:t>2023年度信用复评北京企业名单</w:t>
      </w:r>
    </w:p>
    <w:tbl>
      <w:tblPr>
        <w:tblStyle w:val="6"/>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4"/>
        <w:gridCol w:w="4455"/>
        <w:gridCol w:w="829"/>
        <w:gridCol w:w="141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企业名称</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信用等级</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到期日期</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复评资料提交时间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国网（北京）综合能源规划设计研究院有限公司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2023/3/25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北京国能国源能源科技有限公司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2023/6/28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北京华科兴盛电力工程技术有限公司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北京京桥热电有限责任公司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中国电力国际发展有限公司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中国长江电力股份有限公司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龙源电力集团股份有限公司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大唐国际发电股份有限公司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国网北京市电力公司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国核电力规划设计研究院有限公司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中国电建集团北京勘测设计研究院有限公司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中国电力工程顾问集团华北电力设计院有限公司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中国华能集团清洁能源技术研究院有限公司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电力规划总院有限公司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中能电力科技开发有限公司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华北电力科学研究院有限责任公司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2023/9/25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大唐京津冀能源营销有限公司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2023/12/27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北京中安质环技术评价中心有限公司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2023/12/27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北京鑫泰能源股份有限公司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2023/12/27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中国华能集团有限公司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2023/12/27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华能北京热电有限责任公司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2023/12/27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华能国际电力股份有限公司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2023/12/27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11月25日前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北京洛斯达科技发展有限公司</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AAA</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2023/12/27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11月25日前</w:t>
            </w:r>
          </w:p>
        </w:tc>
      </w:tr>
    </w:tbl>
    <w:p>
      <w:pPr>
        <w:spacing w:beforeLines="100" w:afterLines="100" w:line="600" w:lineRule="exact"/>
        <w:jc w:val="left"/>
        <w:rPr>
          <w:rFonts w:hint="eastAsia" w:ascii="方正小标宋简体" w:hAnsi="仿宋" w:eastAsia="方正小标宋简体"/>
          <w:sz w:val="36"/>
          <w:szCs w:val="36"/>
          <w:lang w:val="en-US" w:eastAsia="zh-CN"/>
        </w:rPr>
      </w:pPr>
    </w:p>
    <w:p>
      <w:pPr>
        <w:spacing w:before="68"/>
        <w:ind w:left="2550" w:right="3016" w:firstLine="0"/>
        <w:jc w:val="center"/>
        <w:rPr>
          <w:rFonts w:ascii="Times New Roman" w:hAnsi="Times New Roman"/>
          <w:sz w:val="24"/>
        </w:rPr>
      </w:pPr>
    </w:p>
    <w:sectPr>
      <w:pgSz w:w="11910" w:h="16840"/>
      <w:pgMar w:top="1600" w:right="1160" w:bottom="280" w:left="1680" w:header="72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RsxSm5wEAAMcD&#10;AAAOAAAAAAAAAAEAIAAAAB4BAABkcnMvZTJvRG9jLnhtbFBLBQYAAAAABgAGAFkBAAB3BQAAAAA=&#10;">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4MTk3MjkyZDIwMDhlMGYwNWQyMjNkOWU2YTI0N2IifQ=="/>
    <w:docVar w:name="KSO_WPS_MARK_KEY" w:val="e7672209-0335-4e85-be32-37dca744247d"/>
  </w:docVars>
  <w:rsids>
    <w:rsidRoot w:val="00000000"/>
    <w:rsid w:val="0091397A"/>
    <w:rsid w:val="02E912A5"/>
    <w:rsid w:val="032F4229"/>
    <w:rsid w:val="03B25314"/>
    <w:rsid w:val="062A142B"/>
    <w:rsid w:val="081C1D2F"/>
    <w:rsid w:val="11453772"/>
    <w:rsid w:val="123D038C"/>
    <w:rsid w:val="133B4C77"/>
    <w:rsid w:val="1637423E"/>
    <w:rsid w:val="17AE3C6A"/>
    <w:rsid w:val="19AA09A6"/>
    <w:rsid w:val="1A183B5E"/>
    <w:rsid w:val="1F245FF8"/>
    <w:rsid w:val="270933F2"/>
    <w:rsid w:val="298D6234"/>
    <w:rsid w:val="2BC03B14"/>
    <w:rsid w:val="2D5C161A"/>
    <w:rsid w:val="2D740A2F"/>
    <w:rsid w:val="2FBC4F11"/>
    <w:rsid w:val="395833A6"/>
    <w:rsid w:val="3B81506E"/>
    <w:rsid w:val="3BA1126C"/>
    <w:rsid w:val="3EAB0654"/>
    <w:rsid w:val="3F220916"/>
    <w:rsid w:val="3FD11DB9"/>
    <w:rsid w:val="43087E22"/>
    <w:rsid w:val="4856518C"/>
    <w:rsid w:val="493279A7"/>
    <w:rsid w:val="4DCB3F26"/>
    <w:rsid w:val="4E4361B3"/>
    <w:rsid w:val="4FEC2F9E"/>
    <w:rsid w:val="50243DC2"/>
    <w:rsid w:val="5080549C"/>
    <w:rsid w:val="53813EB6"/>
    <w:rsid w:val="5BF97111"/>
    <w:rsid w:val="5DCE1157"/>
    <w:rsid w:val="5F531FCE"/>
    <w:rsid w:val="62712E97"/>
    <w:rsid w:val="6C423AF6"/>
    <w:rsid w:val="6D397FE3"/>
    <w:rsid w:val="6EBC4996"/>
    <w:rsid w:val="6F265009"/>
    <w:rsid w:val="6F835BBC"/>
    <w:rsid w:val="71FD38D3"/>
    <w:rsid w:val="72603CA8"/>
    <w:rsid w:val="729452E1"/>
    <w:rsid w:val="76A038F3"/>
    <w:rsid w:val="77C47AB5"/>
    <w:rsid w:val="7B857D92"/>
    <w:rsid w:val="7CDF5D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华文仿宋" w:hAnsi="华文仿宋" w:eastAsia="华文仿宋" w:cs="华文仿宋"/>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华文仿宋" w:hAnsi="华文仿宋" w:eastAsia="华文仿宋" w:cs="华文仿宋"/>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lang w:val="zh-CN" w:eastAsia="zh-CN" w:bidi="zh-CN"/>
    </w:rPr>
  </w:style>
  <w:style w:type="paragraph" w:customStyle="1" w:styleId="11">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12">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1791</Words>
  <Characters>2236</Characters>
  <TotalTime>67</TotalTime>
  <ScaleCrop>false</ScaleCrop>
  <LinksUpToDate>false</LinksUpToDate>
  <CharactersWithSpaces>2325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2022-01-25T14:22:00Z</dcterms:created>
  <dc:creator>User</dc:creator>
  <cp:lastModifiedBy>八斤四两</cp:lastModifiedBy>
  <dcterms:modified xsi:type="dcterms:W3CDTF">2023-01-30T07:01:16Z</dcterms:modified>
  <dc:title>转发《关于开展750千伏-220千伏电网运营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WPS 文字</vt:lpwstr>
  </property>
  <property fmtid="{D5CDD505-2E9C-101B-9397-08002B2CF9AE}" pid="4" name="LastSaved">
    <vt:filetime>2022-01-25T00:00:00Z</vt:filetime>
  </property>
  <property fmtid="{D5CDD505-2E9C-101B-9397-08002B2CF9AE}" pid="5" name="KSOProductBuildVer">
    <vt:lpwstr>2052-11.1.0.13703</vt:lpwstr>
  </property>
  <property fmtid="{D5CDD505-2E9C-101B-9397-08002B2CF9AE}" pid="6" name="ICV">
    <vt:lpwstr>BEBFB12F38E0423AB623AB01AA54CA01</vt:lpwstr>
  </property>
</Properties>
</file>